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r w:rsidDel="00000000" w:rsidR="00000000" w:rsidRPr="00000000">
        <w:rPr>
          <w:b w:val="1"/>
          <w:rtl w:val="0"/>
        </w:rPr>
        <w:t xml:space="preserve">UIB подтвердил свои позиции в рейтинге Times Higher Education Impact Rankings 2025</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Университет международного бизнеса имени Кенжегали Сагадиева (UIB) вновь представлен в престижном международном рейтинге Times Higher Education Impact Rankings 2025, отражающем вклад вузов в достижение Целей устойчивого развития ООН (Sustainable Development Goals, SDGs).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По итогам 2025 года университет подтвердил свои позиции в рейтинге, продемонстрировав устойчивую динамику и приверженность задачам устойчивого развития, в том числе в таких направлениях, как:</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SDG 4 – Качественное образование: 801–1000 место</w:t>
      </w:r>
    </w:p>
    <w:p w:rsidR="00000000" w:rsidDel="00000000" w:rsidP="00000000" w:rsidRDefault="00000000" w:rsidRPr="00000000" w14:paraId="00000008">
      <w:pPr>
        <w:jc w:val="both"/>
        <w:rPr>
          <w:b w:val="1"/>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SDG 5 – Гендерное равенство: 401–600 место</w:t>
      </w:r>
    </w:p>
    <w:p w:rsidR="00000000" w:rsidDel="00000000" w:rsidP="00000000" w:rsidRDefault="00000000" w:rsidRPr="00000000" w14:paraId="0000000A">
      <w:pPr>
        <w:jc w:val="both"/>
        <w:rPr>
          <w:b w:val="1"/>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SDG 8 – Достойный труд и экономический рост: 801–1000 место</w:t>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SDG 16 – Мир, правосудие и эффективные институты: 601–800 место</w:t>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SDG 17 – Партнерство в интересах устойчивого развития: 1501+ место</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Times Higher Education (THE) Impact Rankings - это глобальный рейтинг университетов, который оценивает высшие учебные заведения по степени их вклада в достижение Целей устойчивого развития Организации Объединенных Наций (ЦУР).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UIB университеті 2025 жылғы Times Higher Education Impact Rankings рейтингінде тұрақты даму бағытындағы жетістіктерін растады</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Кенжегали Сағадиев атындағы Халықаралық Бизнес Университеті (UIB) Times Higher Education Impact Rankings 2025 рейтингінде өз орнын сақтап қалды. Бұл рейтинг — әлем университеттерінің БҰҰ-ның Тұрақты даму мақсаттарына (SDG) қосқан үлесін бағалайтын беделді халықаралық көрсеткіш.</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2025 жылғы нәтижелерге сәйкес, университет бірқатар бағыттар бойынша жақсы нәтижелер көрсетіп, тұрақты даму қағидаттарын білім беру, зерттеу және басқару қызметіне сәтті енгізіп отырғанын дәлелдеді:</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SDG 4 – Сапалы білім беру: 801–1000 орын</w:t>
      </w:r>
    </w:p>
    <w:p w:rsidR="00000000" w:rsidDel="00000000" w:rsidP="00000000" w:rsidRDefault="00000000" w:rsidRPr="00000000" w14:paraId="0000001B">
      <w:pPr>
        <w:jc w:val="both"/>
        <w:rPr>
          <w:b w:val="1"/>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SDG 5 – Гендерлік теңдік: 401–600 орын</w:t>
      </w:r>
    </w:p>
    <w:p w:rsidR="00000000" w:rsidDel="00000000" w:rsidP="00000000" w:rsidRDefault="00000000" w:rsidRPr="00000000" w14:paraId="0000001D">
      <w:pPr>
        <w:jc w:val="both"/>
        <w:rPr>
          <w:b w:val="1"/>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SDG 8 – Лайықты еңбек және экономикалық өсу: 801–1000 орын</w:t>
      </w:r>
    </w:p>
    <w:p w:rsidR="00000000" w:rsidDel="00000000" w:rsidP="00000000" w:rsidRDefault="00000000" w:rsidRPr="00000000" w14:paraId="0000001F">
      <w:pPr>
        <w:jc w:val="both"/>
        <w:rPr>
          <w:b w:val="1"/>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SDG 16 – Бейбітшілік, әділет және тиімді институттар: 601–800 орын</w:t>
      </w:r>
    </w:p>
    <w:p w:rsidR="00000000" w:rsidDel="00000000" w:rsidP="00000000" w:rsidRDefault="00000000" w:rsidRPr="00000000" w14:paraId="00000021">
      <w:pPr>
        <w:jc w:val="both"/>
        <w:rPr>
          <w:b w:val="1"/>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SDG 17 – Тұрақты даму үшін әріптестік: 1501+ орын</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THE Impact Rankings — әлем бойынша университеттердің қоғам мен қоршаған ортаға ықпалын бағалайтын бірегей рейтинг. UIB бұл рейтинг арқылы өз даму бағытын халықаралық деңгейде айқындап отыр.</w:t>
      </w:r>
      <w:r w:rsidDel="00000000" w:rsidR="00000000" w:rsidRPr="00000000">
        <w:br w:type="page"/>
      </w: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rtl w:val="0"/>
        </w:rPr>
        <w:t xml:space="preserve">UIB Retains Its Position in the 2025 Times Higher Education Impact Rankings</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The Kenzhegali Sagadiyev University of International Business (UIB) has retained its standing in the Times Higher Education (THE) Impact Rankings 2025, which evaluate universities worldwide based on their contribution to the UN Sustainable Development Goals (SDGs).</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In the 2025 edition, UIB reaffirmed its commitment to sustainability by demonstrating solid results across several key areas:</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b w:val="1"/>
        </w:rPr>
      </w:pPr>
      <w:r w:rsidDel="00000000" w:rsidR="00000000" w:rsidRPr="00000000">
        <w:rPr>
          <w:b w:val="1"/>
          <w:rtl w:val="0"/>
        </w:rPr>
        <w:t xml:space="preserve">SDG 4 – Quality Education: 801–1000th</w:t>
      </w:r>
    </w:p>
    <w:p w:rsidR="00000000" w:rsidDel="00000000" w:rsidP="00000000" w:rsidRDefault="00000000" w:rsidRPr="00000000" w14:paraId="0000002C">
      <w:pPr>
        <w:jc w:val="both"/>
        <w:rPr>
          <w:b w:val="1"/>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b w:val="1"/>
          <w:rtl w:val="0"/>
        </w:rPr>
        <w:t xml:space="preserve">SDG 5 – Gender Equality: 401–600th</w:t>
      </w:r>
    </w:p>
    <w:p w:rsidR="00000000" w:rsidDel="00000000" w:rsidP="00000000" w:rsidRDefault="00000000" w:rsidRPr="00000000" w14:paraId="0000002E">
      <w:pPr>
        <w:jc w:val="both"/>
        <w:rPr>
          <w:b w:val="1"/>
        </w:rPr>
      </w:pP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b w:val="1"/>
          <w:rtl w:val="0"/>
        </w:rPr>
        <w:t xml:space="preserve">SDG 8 – Decent Work and Economic Growth: 801–1000th</w:t>
      </w:r>
    </w:p>
    <w:p w:rsidR="00000000" w:rsidDel="00000000" w:rsidP="00000000" w:rsidRDefault="00000000" w:rsidRPr="00000000" w14:paraId="00000030">
      <w:pPr>
        <w:jc w:val="both"/>
        <w:rPr>
          <w:b w:val="1"/>
        </w:rPr>
      </w:pPr>
      <w:r w:rsidDel="00000000" w:rsidR="00000000" w:rsidRPr="00000000">
        <w:rPr>
          <w:rtl w:val="0"/>
        </w:rPr>
      </w:r>
    </w:p>
    <w:p w:rsidR="00000000" w:rsidDel="00000000" w:rsidP="00000000" w:rsidRDefault="00000000" w:rsidRPr="00000000" w14:paraId="00000031">
      <w:pPr>
        <w:jc w:val="both"/>
        <w:rPr>
          <w:b w:val="1"/>
        </w:rPr>
      </w:pPr>
      <w:r w:rsidDel="00000000" w:rsidR="00000000" w:rsidRPr="00000000">
        <w:rPr>
          <w:b w:val="1"/>
          <w:rtl w:val="0"/>
        </w:rPr>
        <w:t xml:space="preserve">SDG 16 – Peace, Justice and Strong Institutions: 601–800th</w:t>
      </w:r>
    </w:p>
    <w:p w:rsidR="00000000" w:rsidDel="00000000" w:rsidP="00000000" w:rsidRDefault="00000000" w:rsidRPr="00000000" w14:paraId="00000032">
      <w:pPr>
        <w:jc w:val="both"/>
        <w:rPr>
          <w:b w:val="1"/>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b w:val="1"/>
          <w:rtl w:val="0"/>
        </w:rPr>
        <w:t xml:space="preserve">SDG 17 – Partnerships for the Goals: 1501+</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As one of the few rankings assessing real-world impact, THE Impact Rankings offer a unique perspective on how universities address global challenges and contribute to a more sustainable future. UIB is proud to be among institutions shaping positive change at both national and global levels.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